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2AD" w:rsidRPr="00185B6B" w:rsidRDefault="005E42AD" w:rsidP="005E42AD">
      <w:pPr>
        <w:pStyle w:val="NoSpacing"/>
        <w:rPr>
          <w:rFonts w:ascii="Times New Roman" w:hAnsi="Times New Roman" w:cs="Times New Roman"/>
          <w:sz w:val="24"/>
          <w:szCs w:val="24"/>
        </w:rPr>
      </w:pPr>
      <w:r w:rsidRPr="00185B6B">
        <w:rPr>
          <w:rFonts w:ascii="Times New Roman" w:hAnsi="Times New Roman" w:cs="Times New Roman"/>
          <w:sz w:val="24"/>
          <w:szCs w:val="24"/>
        </w:rPr>
        <w:t>IGNATIUS RUVINGA</w:t>
      </w:r>
    </w:p>
    <w:p w:rsidR="005E42AD" w:rsidRPr="00185B6B" w:rsidRDefault="005E42AD" w:rsidP="005E42AD">
      <w:pPr>
        <w:pStyle w:val="NoSpacing"/>
        <w:rPr>
          <w:rFonts w:ascii="Times New Roman" w:hAnsi="Times New Roman" w:cs="Times New Roman"/>
          <w:sz w:val="24"/>
          <w:szCs w:val="24"/>
        </w:rPr>
      </w:pPr>
      <w:r w:rsidRPr="00185B6B">
        <w:rPr>
          <w:rFonts w:ascii="Times New Roman" w:hAnsi="Times New Roman" w:cs="Times New Roman"/>
          <w:sz w:val="24"/>
          <w:szCs w:val="24"/>
        </w:rPr>
        <w:t>versus</w:t>
      </w:r>
    </w:p>
    <w:p w:rsidR="005E42AD" w:rsidRPr="00185B6B" w:rsidRDefault="005E42AD" w:rsidP="005E42AD">
      <w:pPr>
        <w:pStyle w:val="NoSpacing"/>
        <w:rPr>
          <w:rFonts w:ascii="Times New Roman" w:hAnsi="Times New Roman" w:cs="Times New Roman"/>
          <w:sz w:val="24"/>
          <w:szCs w:val="24"/>
        </w:rPr>
      </w:pPr>
      <w:r w:rsidRPr="00185B6B">
        <w:rPr>
          <w:rFonts w:ascii="Times New Roman" w:hAnsi="Times New Roman" w:cs="Times New Roman"/>
          <w:sz w:val="24"/>
          <w:szCs w:val="24"/>
        </w:rPr>
        <w:t>ZIMBABWE ELECTRICITY TRANSMISSION &amp; DISTRIBUTION COMPANY</w:t>
      </w:r>
    </w:p>
    <w:p w:rsidR="005E42AD" w:rsidRPr="00185B6B" w:rsidRDefault="005E42AD" w:rsidP="005E42AD">
      <w:pPr>
        <w:pStyle w:val="NoSpacing"/>
        <w:rPr>
          <w:rFonts w:ascii="Times New Roman" w:hAnsi="Times New Roman" w:cs="Times New Roman"/>
          <w:sz w:val="24"/>
          <w:szCs w:val="24"/>
        </w:rPr>
      </w:pPr>
    </w:p>
    <w:p w:rsidR="005E42AD" w:rsidRPr="00185B6B" w:rsidRDefault="005E42AD" w:rsidP="005E42AD">
      <w:pPr>
        <w:pStyle w:val="NoSpacing"/>
      </w:pPr>
    </w:p>
    <w:p w:rsidR="005E42AD" w:rsidRPr="00DB2B5B" w:rsidRDefault="005E42AD" w:rsidP="005E42AD">
      <w:pPr>
        <w:pStyle w:val="NoSpacing"/>
        <w:rPr>
          <w:rFonts w:ascii="Times New Roman" w:hAnsi="Times New Roman" w:cs="Times New Roman"/>
          <w:sz w:val="24"/>
          <w:szCs w:val="24"/>
        </w:rPr>
      </w:pPr>
      <w:r w:rsidRPr="00DB2B5B">
        <w:rPr>
          <w:rFonts w:ascii="Times New Roman" w:hAnsi="Times New Roman" w:cs="Times New Roman"/>
          <w:sz w:val="24"/>
          <w:szCs w:val="24"/>
        </w:rPr>
        <w:t xml:space="preserve">HIGH COURT OF ZIMBABWE, </w:t>
      </w:r>
    </w:p>
    <w:p w:rsidR="005E42AD" w:rsidRPr="00DB2B5B" w:rsidRDefault="005E42AD" w:rsidP="005E42AD">
      <w:pPr>
        <w:pStyle w:val="NoSpacing"/>
        <w:rPr>
          <w:rFonts w:ascii="Times New Roman" w:hAnsi="Times New Roman" w:cs="Times New Roman"/>
          <w:sz w:val="24"/>
          <w:szCs w:val="24"/>
        </w:rPr>
      </w:pPr>
      <w:r w:rsidRPr="00DB2B5B">
        <w:rPr>
          <w:rFonts w:ascii="Times New Roman" w:hAnsi="Times New Roman" w:cs="Times New Roman"/>
          <w:sz w:val="24"/>
          <w:szCs w:val="24"/>
        </w:rPr>
        <w:t>ZHOU J</w:t>
      </w:r>
    </w:p>
    <w:p w:rsidR="005E42AD" w:rsidRPr="00DB2B5B" w:rsidRDefault="00445F24" w:rsidP="005E42AD">
      <w:pPr>
        <w:pStyle w:val="NoSpacing"/>
        <w:rPr>
          <w:rFonts w:ascii="Times New Roman" w:hAnsi="Times New Roman" w:cs="Times New Roman"/>
          <w:sz w:val="24"/>
          <w:szCs w:val="24"/>
        </w:rPr>
      </w:pPr>
      <w:r>
        <w:rPr>
          <w:rFonts w:ascii="Times New Roman" w:hAnsi="Times New Roman" w:cs="Times New Roman"/>
          <w:sz w:val="24"/>
          <w:szCs w:val="24"/>
        </w:rPr>
        <w:t xml:space="preserve">HARARE, </w:t>
      </w:r>
      <w:r w:rsidR="00A220C1">
        <w:rPr>
          <w:rFonts w:ascii="Times New Roman" w:hAnsi="Times New Roman" w:cs="Times New Roman"/>
          <w:sz w:val="24"/>
          <w:szCs w:val="24"/>
        </w:rPr>
        <w:t xml:space="preserve">1 August </w:t>
      </w:r>
      <w:r w:rsidR="00E36B03">
        <w:rPr>
          <w:rFonts w:ascii="Times New Roman" w:hAnsi="Times New Roman" w:cs="Times New Roman"/>
          <w:sz w:val="24"/>
          <w:szCs w:val="24"/>
        </w:rPr>
        <w:t xml:space="preserve">&amp; </w:t>
      </w:r>
      <w:r w:rsidR="00A220C1">
        <w:rPr>
          <w:rFonts w:ascii="Times New Roman" w:hAnsi="Times New Roman" w:cs="Times New Roman"/>
          <w:sz w:val="24"/>
          <w:szCs w:val="24"/>
        </w:rPr>
        <w:t>10 October</w:t>
      </w:r>
      <w:r w:rsidR="005E42AD" w:rsidRPr="00DB2B5B">
        <w:rPr>
          <w:rFonts w:ascii="Times New Roman" w:hAnsi="Times New Roman" w:cs="Times New Roman"/>
          <w:sz w:val="24"/>
          <w:szCs w:val="24"/>
        </w:rPr>
        <w:t xml:space="preserve"> 2012</w:t>
      </w:r>
    </w:p>
    <w:p w:rsidR="005E42AD" w:rsidRDefault="005E42AD" w:rsidP="005E42AD"/>
    <w:p w:rsidR="005E42AD" w:rsidRPr="00DB2B5B" w:rsidRDefault="005E42AD" w:rsidP="005E42AD">
      <w:pPr>
        <w:spacing w:after="0" w:line="360" w:lineRule="auto"/>
        <w:ind w:firstLine="720"/>
        <w:jc w:val="both"/>
        <w:rPr>
          <w:rFonts w:ascii="Times New Roman" w:hAnsi="Times New Roman" w:cs="Times New Roman"/>
          <w:sz w:val="24"/>
          <w:szCs w:val="24"/>
        </w:rPr>
      </w:pPr>
      <w:r w:rsidRPr="00DB2B5B">
        <w:rPr>
          <w:rFonts w:ascii="Times New Roman" w:hAnsi="Times New Roman" w:cs="Times New Roman"/>
          <w:sz w:val="24"/>
          <w:szCs w:val="24"/>
        </w:rPr>
        <w:t>ZHOU J:  This is an unopposed claim for damages.  After I had heard submissions I reserved judgment in order to consid</w:t>
      </w:r>
      <w:r>
        <w:rPr>
          <w:rFonts w:ascii="Times New Roman" w:hAnsi="Times New Roman" w:cs="Times New Roman"/>
          <w:sz w:val="24"/>
          <w:szCs w:val="24"/>
        </w:rPr>
        <w:t>er the submissions made by the P</w:t>
      </w:r>
      <w:r w:rsidRPr="00DB2B5B">
        <w:rPr>
          <w:rFonts w:ascii="Times New Roman" w:hAnsi="Times New Roman" w:cs="Times New Roman"/>
          <w:sz w:val="24"/>
          <w:szCs w:val="24"/>
        </w:rPr>
        <w:t>laintiff.</w:t>
      </w:r>
    </w:p>
    <w:p w:rsidR="005E42AD" w:rsidRPr="00DB2B5B" w:rsidRDefault="005E42AD" w:rsidP="005E42AD">
      <w:pPr>
        <w:spacing w:after="0" w:line="360" w:lineRule="auto"/>
        <w:jc w:val="both"/>
        <w:rPr>
          <w:rFonts w:ascii="Times New Roman" w:hAnsi="Times New Roman" w:cs="Times New Roman"/>
          <w:sz w:val="24"/>
          <w:szCs w:val="24"/>
        </w:rPr>
      </w:pPr>
      <w:r w:rsidRPr="00DB2B5B">
        <w:rPr>
          <w:rFonts w:ascii="Times New Roman" w:hAnsi="Times New Roman" w:cs="Times New Roman"/>
          <w:sz w:val="24"/>
          <w:szCs w:val="24"/>
        </w:rPr>
        <w:t xml:space="preserve">The </w:t>
      </w:r>
      <w:r>
        <w:rPr>
          <w:rFonts w:ascii="Times New Roman" w:hAnsi="Times New Roman" w:cs="Times New Roman"/>
          <w:sz w:val="24"/>
          <w:szCs w:val="24"/>
        </w:rPr>
        <w:t>P</w:t>
      </w:r>
      <w:r w:rsidRPr="00DB2B5B">
        <w:rPr>
          <w:rFonts w:ascii="Times New Roman" w:hAnsi="Times New Roman" w:cs="Times New Roman"/>
          <w:sz w:val="24"/>
          <w:szCs w:val="24"/>
        </w:rPr>
        <w:t xml:space="preserve">laintiff is a farmer by occupation.  He carries on his farming operations at Subdivision 38 of </w:t>
      </w:r>
      <w:r w:rsidRPr="00DB2B5B">
        <w:rPr>
          <w:rFonts w:ascii="Times New Roman" w:hAnsi="Times New Roman" w:cs="Times New Roman"/>
          <w:i/>
          <w:sz w:val="24"/>
          <w:szCs w:val="24"/>
        </w:rPr>
        <w:t>Exwick Farm</w:t>
      </w:r>
      <w:r>
        <w:rPr>
          <w:rFonts w:ascii="Times New Roman" w:hAnsi="Times New Roman" w:cs="Times New Roman"/>
          <w:sz w:val="24"/>
          <w:szCs w:val="24"/>
        </w:rPr>
        <w:t xml:space="preserve"> in Chegutu.  In June 2002 the P</w:t>
      </w:r>
      <w:r w:rsidRPr="00DB2B5B">
        <w:rPr>
          <w:rFonts w:ascii="Times New Roman" w:hAnsi="Times New Roman" w:cs="Times New Roman"/>
          <w:sz w:val="24"/>
          <w:szCs w:val="24"/>
        </w:rPr>
        <w:t xml:space="preserve">laintiff and </w:t>
      </w:r>
      <w:r w:rsidR="00AC3D8F">
        <w:rPr>
          <w:rFonts w:ascii="Times New Roman" w:hAnsi="Times New Roman" w:cs="Times New Roman"/>
          <w:sz w:val="24"/>
          <w:szCs w:val="24"/>
        </w:rPr>
        <w:t>the D</w:t>
      </w:r>
      <w:r w:rsidRPr="00DB2B5B">
        <w:rPr>
          <w:rFonts w:ascii="Times New Roman" w:hAnsi="Times New Roman" w:cs="Times New Roman"/>
          <w:sz w:val="24"/>
          <w:szCs w:val="24"/>
        </w:rPr>
        <w:t>efendant entered into an a</w:t>
      </w:r>
      <w:r>
        <w:rPr>
          <w:rFonts w:ascii="Times New Roman" w:hAnsi="Times New Roman" w:cs="Times New Roman"/>
          <w:sz w:val="24"/>
          <w:szCs w:val="24"/>
        </w:rPr>
        <w:t>greement in terms of which the P</w:t>
      </w:r>
      <w:r w:rsidRPr="00DB2B5B">
        <w:rPr>
          <w:rFonts w:ascii="Times New Roman" w:hAnsi="Times New Roman" w:cs="Times New Roman"/>
          <w:sz w:val="24"/>
          <w:szCs w:val="24"/>
        </w:rPr>
        <w:t>laintiff was to pay to the defendant a sum of US$217 655.80 for electricity to be connected to his farm.  In t</w:t>
      </w:r>
      <w:r>
        <w:rPr>
          <w:rFonts w:ascii="Times New Roman" w:hAnsi="Times New Roman" w:cs="Times New Roman"/>
          <w:sz w:val="24"/>
          <w:szCs w:val="24"/>
        </w:rPr>
        <w:t>erms of the same agreement the D</w:t>
      </w:r>
      <w:r w:rsidRPr="00DB2B5B">
        <w:rPr>
          <w:rFonts w:ascii="Times New Roman" w:hAnsi="Times New Roman" w:cs="Times New Roman"/>
          <w:sz w:val="24"/>
          <w:szCs w:val="24"/>
        </w:rPr>
        <w:t>efendant was obliged to connect, and did connect, electricity</w:t>
      </w:r>
      <w:r>
        <w:rPr>
          <w:rFonts w:ascii="Times New Roman" w:hAnsi="Times New Roman" w:cs="Times New Roman"/>
          <w:sz w:val="24"/>
          <w:szCs w:val="24"/>
        </w:rPr>
        <w:t xml:space="preserve"> to the P</w:t>
      </w:r>
      <w:r w:rsidRPr="00DB2B5B">
        <w:rPr>
          <w:rFonts w:ascii="Times New Roman" w:hAnsi="Times New Roman" w:cs="Times New Roman"/>
          <w:sz w:val="24"/>
          <w:szCs w:val="24"/>
        </w:rPr>
        <w:t xml:space="preserve">laintiff’s farm. </w:t>
      </w:r>
      <w:r>
        <w:rPr>
          <w:rFonts w:ascii="Times New Roman" w:hAnsi="Times New Roman" w:cs="Times New Roman"/>
          <w:sz w:val="24"/>
          <w:szCs w:val="24"/>
        </w:rPr>
        <w:t xml:space="preserve">The </w:t>
      </w:r>
      <w:r w:rsidRPr="00DB2B5B">
        <w:rPr>
          <w:rFonts w:ascii="Times New Roman" w:hAnsi="Times New Roman" w:cs="Times New Roman"/>
          <w:sz w:val="24"/>
          <w:szCs w:val="24"/>
        </w:rPr>
        <w:t>Defendant also supp</w:t>
      </w:r>
      <w:r>
        <w:rPr>
          <w:rFonts w:ascii="Times New Roman" w:hAnsi="Times New Roman" w:cs="Times New Roman"/>
          <w:sz w:val="24"/>
          <w:szCs w:val="24"/>
        </w:rPr>
        <w:t>lied a 100KV transformer.  Sometime in 2008 the D</w:t>
      </w:r>
      <w:r w:rsidRPr="00DB2B5B">
        <w:rPr>
          <w:rFonts w:ascii="Times New Roman" w:hAnsi="Times New Roman" w:cs="Times New Roman"/>
          <w:sz w:val="24"/>
          <w:szCs w:val="24"/>
        </w:rPr>
        <w:t>efendant without th</w:t>
      </w:r>
      <w:r>
        <w:rPr>
          <w:rFonts w:ascii="Times New Roman" w:hAnsi="Times New Roman" w:cs="Times New Roman"/>
          <w:sz w:val="24"/>
          <w:szCs w:val="24"/>
        </w:rPr>
        <w:t>e knowledge and consent of the P</w:t>
      </w:r>
      <w:r w:rsidRPr="00DB2B5B">
        <w:rPr>
          <w:rFonts w:ascii="Times New Roman" w:hAnsi="Times New Roman" w:cs="Times New Roman"/>
          <w:sz w:val="24"/>
          <w:szCs w:val="24"/>
        </w:rPr>
        <w:t>laintif</w:t>
      </w:r>
      <w:r>
        <w:rPr>
          <w:rFonts w:ascii="Times New Roman" w:hAnsi="Times New Roman" w:cs="Times New Roman"/>
          <w:sz w:val="24"/>
          <w:szCs w:val="24"/>
        </w:rPr>
        <w:t>f connected other farms to the P</w:t>
      </w:r>
      <w:r w:rsidRPr="00DB2B5B">
        <w:rPr>
          <w:rFonts w:ascii="Times New Roman" w:hAnsi="Times New Roman" w:cs="Times New Roman"/>
          <w:sz w:val="24"/>
          <w:szCs w:val="24"/>
        </w:rPr>
        <w:t>laintiff’s point of supply.  That increased the load beyond the capacity of the transformer and caused a fall in the voltage and damage to the electric motors.  As a consequence of the dam</w:t>
      </w:r>
      <w:r>
        <w:rPr>
          <w:rFonts w:ascii="Times New Roman" w:hAnsi="Times New Roman" w:cs="Times New Roman"/>
          <w:sz w:val="24"/>
          <w:szCs w:val="24"/>
        </w:rPr>
        <w:t>age to the electric motors the P</w:t>
      </w:r>
      <w:r w:rsidRPr="00DB2B5B">
        <w:rPr>
          <w:rFonts w:ascii="Times New Roman" w:hAnsi="Times New Roman" w:cs="Times New Roman"/>
          <w:sz w:val="24"/>
          <w:szCs w:val="24"/>
        </w:rPr>
        <w:t>laintiff could not irrigate his crops.</w:t>
      </w:r>
    </w:p>
    <w:p w:rsidR="005E42AD" w:rsidRPr="00BE4706" w:rsidRDefault="005E42AD" w:rsidP="005E42A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w:t>
      </w:r>
      <w:r w:rsidRPr="00BE4706">
        <w:rPr>
          <w:rFonts w:ascii="Times New Roman" w:hAnsi="Times New Roman" w:cs="Times New Roman"/>
          <w:sz w:val="24"/>
          <w:szCs w:val="24"/>
        </w:rPr>
        <w:t>laintiff’s case is that as a result of the failure of his irrigation he lost his crops, as a result of which he has suffered damages as set out in the declaration.  The loss falls under three heads. A sum of US$208 849.00 is claimed in respect of the lost crops as the value thereof.  US$9 800.00 is the reasonable cost of replacing the</w:t>
      </w:r>
      <w:r>
        <w:rPr>
          <w:rFonts w:ascii="Times New Roman" w:hAnsi="Times New Roman" w:cs="Times New Roman"/>
          <w:sz w:val="24"/>
          <w:szCs w:val="24"/>
        </w:rPr>
        <w:t xml:space="preserve"> damaged electric motors.  The P</w:t>
      </w:r>
      <w:r w:rsidRPr="00BE4706">
        <w:rPr>
          <w:rFonts w:ascii="Times New Roman" w:hAnsi="Times New Roman" w:cs="Times New Roman"/>
          <w:sz w:val="24"/>
          <w:szCs w:val="24"/>
        </w:rPr>
        <w:t>laintiff also claims a sum of US$200 000.00 as damages for mental anguish, anxiety and depression.</w:t>
      </w:r>
    </w:p>
    <w:p w:rsidR="005E42AD" w:rsidRDefault="005E42AD" w:rsidP="005E42AD">
      <w:pPr>
        <w:spacing w:after="0" w:line="360" w:lineRule="auto"/>
        <w:jc w:val="both"/>
        <w:rPr>
          <w:rFonts w:ascii="Times New Roman" w:hAnsi="Times New Roman" w:cs="Times New Roman"/>
          <w:sz w:val="24"/>
          <w:szCs w:val="24"/>
        </w:rPr>
      </w:pPr>
      <w:r w:rsidRPr="00BE4706">
        <w:rPr>
          <w:rFonts w:ascii="Times New Roman" w:hAnsi="Times New Roman" w:cs="Times New Roman"/>
          <w:sz w:val="24"/>
          <w:szCs w:val="24"/>
        </w:rPr>
        <w:t xml:space="preserve">I have no difficulty with the sum of US$208 849.00 for the value of the lost crop.  The affidavits and documents attached show that to be the reasonable </w:t>
      </w:r>
      <w:r>
        <w:rPr>
          <w:rFonts w:ascii="Times New Roman" w:hAnsi="Times New Roman" w:cs="Times New Roman"/>
          <w:sz w:val="24"/>
          <w:szCs w:val="24"/>
        </w:rPr>
        <w:t>value of the crops lost by the P</w:t>
      </w:r>
      <w:r w:rsidRPr="00BE4706">
        <w:rPr>
          <w:rFonts w:ascii="Times New Roman" w:hAnsi="Times New Roman" w:cs="Times New Roman"/>
          <w:sz w:val="24"/>
          <w:szCs w:val="24"/>
        </w:rPr>
        <w:t xml:space="preserve">laintiff as </w:t>
      </w:r>
      <w:r>
        <w:rPr>
          <w:rFonts w:ascii="Times New Roman" w:hAnsi="Times New Roman" w:cs="Times New Roman"/>
          <w:sz w:val="24"/>
          <w:szCs w:val="24"/>
        </w:rPr>
        <w:t>a result of the conduct of the D</w:t>
      </w:r>
      <w:r w:rsidRPr="00BE4706">
        <w:rPr>
          <w:rFonts w:ascii="Times New Roman" w:hAnsi="Times New Roman" w:cs="Times New Roman"/>
          <w:sz w:val="24"/>
          <w:szCs w:val="24"/>
        </w:rPr>
        <w:t xml:space="preserve">efendant.  I equally have no difficulty with the claim for the loss suffered in respect of the destruction of the electric motor in the sum of US$9 800.00.  I do, however, wish to consider the claim for a sum of two hundred thousand United States dollars in respect of damages “for mental anguish, anxiety and depression”.  </w:t>
      </w:r>
    </w:p>
    <w:p w:rsidR="005E42AD" w:rsidRPr="00BE4706" w:rsidRDefault="005E42AD" w:rsidP="005E42AD">
      <w:pPr>
        <w:spacing w:after="0" w:line="360" w:lineRule="auto"/>
        <w:ind w:firstLine="720"/>
        <w:jc w:val="both"/>
        <w:rPr>
          <w:rFonts w:ascii="Times New Roman" w:hAnsi="Times New Roman" w:cs="Times New Roman"/>
          <w:sz w:val="24"/>
          <w:szCs w:val="24"/>
        </w:rPr>
      </w:pPr>
      <w:r w:rsidRPr="00BE4706">
        <w:rPr>
          <w:rFonts w:ascii="Times New Roman" w:hAnsi="Times New Roman" w:cs="Times New Roman"/>
          <w:sz w:val="24"/>
          <w:szCs w:val="24"/>
        </w:rPr>
        <w:t>The issue of whether that loss wa</w:t>
      </w:r>
      <w:r>
        <w:rPr>
          <w:rFonts w:ascii="Times New Roman" w:hAnsi="Times New Roman" w:cs="Times New Roman"/>
          <w:sz w:val="24"/>
          <w:szCs w:val="24"/>
        </w:rPr>
        <w:t>s caused by the conduct of the D</w:t>
      </w:r>
      <w:r w:rsidRPr="00BE4706">
        <w:rPr>
          <w:rFonts w:ascii="Times New Roman" w:hAnsi="Times New Roman" w:cs="Times New Roman"/>
          <w:sz w:val="24"/>
          <w:szCs w:val="24"/>
        </w:rPr>
        <w:t>efendant arises.</w:t>
      </w:r>
      <w:r>
        <w:rPr>
          <w:rFonts w:ascii="Times New Roman" w:hAnsi="Times New Roman" w:cs="Times New Roman"/>
          <w:sz w:val="24"/>
          <w:szCs w:val="24"/>
        </w:rPr>
        <w:t xml:space="preserve">  For the D</w:t>
      </w:r>
      <w:r w:rsidRPr="00BE4706">
        <w:rPr>
          <w:rFonts w:ascii="Times New Roman" w:hAnsi="Times New Roman" w:cs="Times New Roman"/>
          <w:sz w:val="24"/>
          <w:szCs w:val="24"/>
        </w:rPr>
        <w:t xml:space="preserve">efendant to be held liable to pay the damages claimed it must be shown that its conduct </w:t>
      </w:r>
      <w:r w:rsidRPr="00BE4706">
        <w:rPr>
          <w:rFonts w:ascii="Times New Roman" w:hAnsi="Times New Roman" w:cs="Times New Roman"/>
          <w:sz w:val="24"/>
          <w:szCs w:val="24"/>
        </w:rPr>
        <w:lastRenderedPageBreak/>
        <w:t>not only factually caused the loss in the sense of the loss having ensued as a consequence of the conduct complained of, but also that the loss suffered is suffici</w:t>
      </w:r>
      <w:r>
        <w:rPr>
          <w:rFonts w:ascii="Times New Roman" w:hAnsi="Times New Roman" w:cs="Times New Roman"/>
          <w:sz w:val="24"/>
          <w:szCs w:val="24"/>
        </w:rPr>
        <w:t xml:space="preserve">ently connected to </w:t>
      </w:r>
      <w:r w:rsidRPr="00BE4706">
        <w:rPr>
          <w:rFonts w:ascii="Times New Roman" w:hAnsi="Times New Roman" w:cs="Times New Roman"/>
          <w:sz w:val="24"/>
          <w:szCs w:val="24"/>
        </w:rPr>
        <w:t xml:space="preserve">the </w:t>
      </w:r>
      <w:r>
        <w:rPr>
          <w:rFonts w:ascii="Times New Roman" w:hAnsi="Times New Roman" w:cs="Times New Roman"/>
          <w:sz w:val="24"/>
          <w:szCs w:val="24"/>
        </w:rPr>
        <w:t xml:space="preserve"> conduct of the D</w:t>
      </w:r>
      <w:r w:rsidRPr="00BE4706">
        <w:rPr>
          <w:rFonts w:ascii="Times New Roman" w:hAnsi="Times New Roman" w:cs="Times New Roman"/>
          <w:sz w:val="24"/>
          <w:szCs w:val="24"/>
        </w:rPr>
        <w:t xml:space="preserve">efendant to justify making it liable for such loss.  The latter stage is what is referred to as legal causation.  In the case of </w:t>
      </w:r>
      <w:r>
        <w:rPr>
          <w:rFonts w:ascii="Times New Roman" w:hAnsi="Times New Roman" w:cs="Times New Roman"/>
          <w:i/>
          <w:sz w:val="24"/>
          <w:szCs w:val="24"/>
        </w:rPr>
        <w:t>International Shipping Co (Pvt</w:t>
      </w:r>
      <w:r w:rsidRPr="00BE4706">
        <w:rPr>
          <w:rFonts w:ascii="Times New Roman" w:hAnsi="Times New Roman" w:cs="Times New Roman"/>
          <w:i/>
          <w:sz w:val="24"/>
          <w:szCs w:val="24"/>
        </w:rPr>
        <w:t>) Ltd v Bentley 1990 (1) SA 680(A) at 700</w:t>
      </w:r>
      <w:r w:rsidRPr="00BE4706">
        <w:rPr>
          <w:rFonts w:ascii="Times New Roman" w:hAnsi="Times New Roman" w:cs="Times New Roman"/>
          <w:sz w:val="24"/>
          <w:szCs w:val="24"/>
        </w:rPr>
        <w:t xml:space="preserve"> the Court stated as follows:</w:t>
      </w:r>
    </w:p>
    <w:p w:rsidR="005E42AD" w:rsidRDefault="005E42AD" w:rsidP="005E42AD">
      <w:pPr>
        <w:spacing w:after="0"/>
        <w:ind w:left="1440"/>
        <w:jc w:val="both"/>
        <w:rPr>
          <w:rFonts w:ascii="Times New Roman" w:hAnsi="Times New Roman" w:cs="Times New Roman"/>
          <w:sz w:val="24"/>
          <w:szCs w:val="24"/>
        </w:rPr>
      </w:pPr>
      <w:r w:rsidRPr="00606724">
        <w:rPr>
          <w:rFonts w:ascii="Times New Roman" w:hAnsi="Times New Roman" w:cs="Times New Roman"/>
          <w:sz w:val="24"/>
          <w:szCs w:val="24"/>
        </w:rPr>
        <w:t xml:space="preserve">“Demonstration that the wrongful act was a </w:t>
      </w:r>
      <w:r w:rsidRPr="00606724">
        <w:rPr>
          <w:rFonts w:ascii="Times New Roman" w:hAnsi="Times New Roman" w:cs="Times New Roman"/>
          <w:i/>
          <w:sz w:val="24"/>
          <w:szCs w:val="24"/>
        </w:rPr>
        <w:t xml:space="preserve">causa sine qua non </w:t>
      </w:r>
      <w:r w:rsidRPr="00606724">
        <w:rPr>
          <w:rFonts w:ascii="Times New Roman" w:hAnsi="Times New Roman" w:cs="Times New Roman"/>
          <w:sz w:val="24"/>
          <w:szCs w:val="24"/>
        </w:rPr>
        <w:t>of the loss does not necessarily result in legal liability.  The second enquiry, viz whether the wrongful act is linked sufficiently closely or directly to the loss for legal liability to ensue or whether, as it is said, the loss is too remote.  This is basically a juridical problem in the solution of which considerations of policy play a part.  This is sometimes called ‘legal causation’.”</w:t>
      </w:r>
    </w:p>
    <w:p w:rsidR="005E42AD" w:rsidRPr="00606724" w:rsidRDefault="005E42AD" w:rsidP="005E42AD">
      <w:pPr>
        <w:spacing w:after="0"/>
        <w:ind w:left="1440"/>
        <w:jc w:val="both"/>
        <w:rPr>
          <w:rFonts w:ascii="Times New Roman" w:hAnsi="Times New Roman" w:cs="Times New Roman"/>
          <w:sz w:val="24"/>
          <w:szCs w:val="24"/>
        </w:rPr>
      </w:pPr>
    </w:p>
    <w:p w:rsidR="005E42AD" w:rsidRPr="00606724" w:rsidRDefault="005E42AD" w:rsidP="005E42AD">
      <w:pPr>
        <w:spacing w:after="0" w:line="360" w:lineRule="auto"/>
        <w:jc w:val="both"/>
        <w:rPr>
          <w:rFonts w:ascii="Times New Roman" w:hAnsi="Times New Roman" w:cs="Times New Roman"/>
          <w:sz w:val="24"/>
          <w:szCs w:val="24"/>
        </w:rPr>
      </w:pPr>
      <w:r w:rsidRPr="00606724">
        <w:rPr>
          <w:rFonts w:ascii="Times New Roman" w:hAnsi="Times New Roman" w:cs="Times New Roman"/>
          <w:sz w:val="24"/>
          <w:szCs w:val="24"/>
        </w:rPr>
        <w:t xml:space="preserve">See also </w:t>
      </w:r>
      <w:bookmarkStart w:id="0" w:name="_GoBack"/>
      <w:bookmarkEnd w:id="0"/>
      <w:r w:rsidRPr="00606724">
        <w:rPr>
          <w:rFonts w:ascii="Times New Roman" w:hAnsi="Times New Roman" w:cs="Times New Roman"/>
          <w:i/>
          <w:sz w:val="24"/>
          <w:szCs w:val="24"/>
        </w:rPr>
        <w:t>Ocean Accident and Guarantee Corp v Koch 1963 (4) SA147(A);  Tuck v Commissioner for Inland Revenue 1988 (3) SA 819(A) at 832;  Standard Chartered Bank of Canada v Nedperm Bank Ltd 1994 (4) SA 747(A) at 763</w:t>
      </w:r>
      <w:r w:rsidR="00A220C1">
        <w:rPr>
          <w:rFonts w:ascii="Times New Roman" w:hAnsi="Times New Roman" w:cs="Times New Roman"/>
          <w:i/>
          <w:sz w:val="24"/>
          <w:szCs w:val="24"/>
        </w:rPr>
        <w:t>;</w:t>
      </w:r>
      <w:r w:rsidRPr="00606724">
        <w:rPr>
          <w:rFonts w:ascii="Times New Roman" w:hAnsi="Times New Roman" w:cs="Times New Roman"/>
          <w:i/>
          <w:sz w:val="24"/>
          <w:szCs w:val="24"/>
        </w:rPr>
        <w:t>Gibson v Berkowitz 1996 (4) SA 1029(W) at 1039-1040</w:t>
      </w:r>
      <w:r w:rsidRPr="00606724">
        <w:rPr>
          <w:rFonts w:ascii="Times New Roman" w:hAnsi="Times New Roman" w:cs="Times New Roman"/>
          <w:sz w:val="24"/>
          <w:szCs w:val="24"/>
        </w:rPr>
        <w:t>.</w:t>
      </w:r>
    </w:p>
    <w:p w:rsidR="005E42AD" w:rsidRPr="00606724" w:rsidRDefault="005E42AD" w:rsidP="005E42A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Pr="00606724">
        <w:rPr>
          <w:rFonts w:ascii="Times New Roman" w:hAnsi="Times New Roman" w:cs="Times New Roman"/>
          <w:sz w:val="24"/>
          <w:szCs w:val="24"/>
        </w:rPr>
        <w:t xml:space="preserve">n our jurisdiction the test for determining legal causation is that of reasonable foreseeability.  See </w:t>
      </w:r>
      <w:r w:rsidRPr="00606724">
        <w:rPr>
          <w:rFonts w:ascii="Times New Roman" w:hAnsi="Times New Roman" w:cs="Times New Roman"/>
          <w:i/>
          <w:sz w:val="24"/>
          <w:szCs w:val="24"/>
        </w:rPr>
        <w:t>United Bottlers (Pvt) Ltd v Shambawamedza 2002 (1) ZLR 341(S).</w:t>
      </w:r>
      <w:r w:rsidRPr="00606724">
        <w:rPr>
          <w:rFonts w:ascii="Times New Roman" w:hAnsi="Times New Roman" w:cs="Times New Roman"/>
          <w:sz w:val="24"/>
          <w:szCs w:val="24"/>
        </w:rPr>
        <w:t xml:space="preserve">  A wrongdoer is held liable only for the reasonably foreseeable consequences of his or her conduct.  The moment of causing damage is the relevant one in determin</w:t>
      </w:r>
      <w:r w:rsidR="00A220C1">
        <w:rPr>
          <w:rFonts w:ascii="Times New Roman" w:hAnsi="Times New Roman" w:cs="Times New Roman"/>
          <w:sz w:val="24"/>
          <w:szCs w:val="24"/>
        </w:rPr>
        <w:t>ing reasonable foresee</w:t>
      </w:r>
      <w:r>
        <w:rPr>
          <w:rFonts w:ascii="Times New Roman" w:hAnsi="Times New Roman" w:cs="Times New Roman"/>
          <w:sz w:val="24"/>
          <w:szCs w:val="24"/>
        </w:rPr>
        <w:t xml:space="preserve">ability. </w:t>
      </w:r>
      <w:r w:rsidRPr="00606724">
        <w:rPr>
          <w:rFonts w:ascii="Times New Roman" w:hAnsi="Times New Roman" w:cs="Times New Roman"/>
          <w:i/>
          <w:sz w:val="24"/>
          <w:szCs w:val="24"/>
        </w:rPr>
        <w:t>Visser &amp;</w:t>
      </w:r>
      <w:r>
        <w:rPr>
          <w:rFonts w:ascii="Times New Roman" w:hAnsi="Times New Roman" w:cs="Times New Roman"/>
          <w:sz w:val="24"/>
          <w:szCs w:val="24"/>
        </w:rPr>
        <w:t xml:space="preserve"> </w:t>
      </w:r>
      <w:r w:rsidRPr="00606724">
        <w:rPr>
          <w:rFonts w:ascii="Times New Roman" w:hAnsi="Times New Roman" w:cs="Times New Roman"/>
          <w:i/>
          <w:sz w:val="24"/>
          <w:szCs w:val="24"/>
        </w:rPr>
        <w:t>Potgieter,</w:t>
      </w:r>
      <w:r w:rsidRPr="00606724">
        <w:rPr>
          <w:rFonts w:ascii="Times New Roman" w:hAnsi="Times New Roman" w:cs="Times New Roman"/>
          <w:sz w:val="24"/>
          <w:szCs w:val="24"/>
        </w:rPr>
        <w:t xml:space="preserve"> </w:t>
      </w:r>
      <w:r w:rsidRPr="002A7843">
        <w:rPr>
          <w:rFonts w:ascii="Times New Roman" w:hAnsi="Times New Roman" w:cs="Times New Roman"/>
          <w:sz w:val="24"/>
          <w:szCs w:val="24"/>
        </w:rPr>
        <w:t>in Law of Damages 2</w:t>
      </w:r>
      <w:r w:rsidRPr="002A7843">
        <w:rPr>
          <w:rFonts w:ascii="Times New Roman" w:hAnsi="Times New Roman" w:cs="Times New Roman"/>
          <w:sz w:val="24"/>
          <w:szCs w:val="24"/>
          <w:vertAlign w:val="superscript"/>
        </w:rPr>
        <w:t>nd</w:t>
      </w:r>
      <w:r w:rsidRPr="002A7843">
        <w:rPr>
          <w:rFonts w:ascii="Times New Roman" w:hAnsi="Times New Roman" w:cs="Times New Roman"/>
          <w:sz w:val="24"/>
          <w:szCs w:val="24"/>
        </w:rPr>
        <w:t xml:space="preserve"> Ed. p. 274</w:t>
      </w:r>
      <w:r w:rsidRPr="00606724">
        <w:rPr>
          <w:rFonts w:ascii="Times New Roman" w:hAnsi="Times New Roman" w:cs="Times New Roman"/>
          <w:sz w:val="24"/>
          <w:szCs w:val="24"/>
        </w:rPr>
        <w:t>, state the following:</w:t>
      </w:r>
    </w:p>
    <w:p w:rsidR="005E42AD" w:rsidRPr="002A7843" w:rsidRDefault="005E42AD" w:rsidP="005E42AD">
      <w:pPr>
        <w:ind w:left="1440"/>
        <w:jc w:val="both"/>
        <w:rPr>
          <w:rFonts w:ascii="Times New Roman" w:hAnsi="Times New Roman" w:cs="Times New Roman"/>
          <w:sz w:val="24"/>
          <w:szCs w:val="24"/>
        </w:rPr>
      </w:pPr>
      <w:r>
        <w:t>“</w:t>
      </w:r>
      <w:r w:rsidR="00A220C1">
        <w:rPr>
          <w:rFonts w:ascii="Times New Roman" w:hAnsi="Times New Roman" w:cs="Times New Roman"/>
          <w:sz w:val="24"/>
          <w:szCs w:val="24"/>
        </w:rPr>
        <w:t>The reasonable foresee</w:t>
      </w:r>
      <w:r w:rsidRPr="002A7843">
        <w:rPr>
          <w:rFonts w:ascii="Times New Roman" w:hAnsi="Times New Roman" w:cs="Times New Roman"/>
          <w:sz w:val="24"/>
          <w:szCs w:val="24"/>
        </w:rPr>
        <w:t xml:space="preserve">ability test….limits liability to those factual consequences which a reasonable person in the position of the defendant would reasonably have foreseen.  It is not necessary that all the consequences of the defendant’s conduct should have been foreseen: only the general nature or the kind of harm which actually occurred must have been reasonably foreseeable.  The exact extent or precise manner of occurrence need not have been reasonably foreseeable.  However, the risk of harm must have been a real risk, which a reasonable person would not have brushed aside as being far-fetched…. Van Rensburg ……suggests the following test:  ‘Was the consequence, as well as the causal progression between the act and the consequence, at the time of the act foreseeable with such a degree of probability that the consequence can, in the light of the circumstances, reasonably be imputed to the alleged wrongdoer?’”  </w:t>
      </w:r>
    </w:p>
    <w:p w:rsidR="005E42AD" w:rsidRPr="002A7843" w:rsidRDefault="005E42AD" w:rsidP="005E42AD">
      <w:pPr>
        <w:jc w:val="both"/>
        <w:rPr>
          <w:rFonts w:ascii="Times New Roman" w:hAnsi="Times New Roman" w:cs="Times New Roman"/>
          <w:sz w:val="24"/>
          <w:szCs w:val="24"/>
        </w:rPr>
      </w:pPr>
      <w:r w:rsidRPr="002A7843">
        <w:rPr>
          <w:rFonts w:ascii="Times New Roman" w:hAnsi="Times New Roman" w:cs="Times New Roman"/>
          <w:sz w:val="24"/>
          <w:szCs w:val="24"/>
        </w:rPr>
        <w:t xml:space="preserve">See also </w:t>
      </w:r>
      <w:r w:rsidRPr="002A7843">
        <w:rPr>
          <w:rFonts w:ascii="Times New Roman" w:hAnsi="Times New Roman" w:cs="Times New Roman"/>
          <w:i/>
          <w:sz w:val="24"/>
          <w:szCs w:val="24"/>
        </w:rPr>
        <w:t>Smit v Abrahams 1992 (3) SA 158(C ) at 165;  The Wagon Mount (No. 2) (Overseas Tankships) (UK) Ltd v Miller Steamship Co (Pty0 Ltd 1966 (2) ALL ER 709(PC)</w:t>
      </w:r>
      <w:r w:rsidRPr="002A7843">
        <w:rPr>
          <w:rFonts w:ascii="Times New Roman" w:hAnsi="Times New Roman" w:cs="Times New Roman"/>
          <w:sz w:val="24"/>
          <w:szCs w:val="24"/>
        </w:rPr>
        <w:t>.</w:t>
      </w:r>
    </w:p>
    <w:p w:rsidR="005E42AD" w:rsidRPr="002A7843" w:rsidRDefault="005E42AD" w:rsidP="005E42AD">
      <w:pPr>
        <w:spacing w:after="0" w:line="360" w:lineRule="auto"/>
        <w:ind w:firstLine="720"/>
        <w:jc w:val="both"/>
        <w:rPr>
          <w:rFonts w:ascii="Times New Roman" w:hAnsi="Times New Roman" w:cs="Times New Roman"/>
          <w:sz w:val="24"/>
          <w:szCs w:val="24"/>
        </w:rPr>
      </w:pPr>
      <w:r w:rsidRPr="002A7843">
        <w:rPr>
          <w:rFonts w:ascii="Times New Roman" w:hAnsi="Times New Roman" w:cs="Times New Roman"/>
          <w:sz w:val="24"/>
          <w:szCs w:val="24"/>
        </w:rPr>
        <w:lastRenderedPageBreak/>
        <w:t xml:space="preserve">I understand the above test to mean that the loss suffered must be sufficiently connected to the conduct of the wrongdoer that a reasonable person in the position of the wrongdoer would not consider such loss to be far-fetched.  If the loss would be brushed aside as far-fetched by a reasonable person in the position of the defendant then the loss should be considered to be too remote to be imputed to the defendant, even if the defendant’s conduct was the condition </w:t>
      </w:r>
      <w:r w:rsidRPr="002A7843">
        <w:rPr>
          <w:rFonts w:ascii="Times New Roman" w:hAnsi="Times New Roman" w:cs="Times New Roman"/>
          <w:i/>
          <w:sz w:val="24"/>
          <w:szCs w:val="24"/>
        </w:rPr>
        <w:t xml:space="preserve">sine qua non </w:t>
      </w:r>
      <w:r w:rsidRPr="002A7843">
        <w:rPr>
          <w:rFonts w:ascii="Times New Roman" w:hAnsi="Times New Roman" w:cs="Times New Roman"/>
          <w:sz w:val="24"/>
          <w:szCs w:val="24"/>
        </w:rPr>
        <w:t>for the loss concerned.</w:t>
      </w:r>
    </w:p>
    <w:p w:rsidR="005E42AD" w:rsidRPr="002A7843" w:rsidRDefault="005E42AD" w:rsidP="005E42AD">
      <w:pPr>
        <w:spacing w:after="0" w:line="360" w:lineRule="auto"/>
        <w:ind w:firstLine="720"/>
        <w:jc w:val="both"/>
        <w:rPr>
          <w:rFonts w:ascii="Times New Roman" w:hAnsi="Times New Roman" w:cs="Times New Roman"/>
          <w:sz w:val="24"/>
          <w:szCs w:val="24"/>
        </w:rPr>
      </w:pPr>
      <w:r w:rsidRPr="002A7843">
        <w:rPr>
          <w:rFonts w:ascii="Times New Roman" w:hAnsi="Times New Roman" w:cs="Times New Roman"/>
          <w:sz w:val="24"/>
          <w:szCs w:val="24"/>
        </w:rPr>
        <w:t xml:space="preserve">In my view the loss caused by the anguish, anxiety and depression is so remotely connected to the conduct of the defendant thatthe defendant cannot be held liable for it.  Such loss could not be reasonably foreseeable as a consequence of the connection by the defendant of other farmers to the point of supply of electricity to which the plaintiff’s farm was connected.The case of </w:t>
      </w:r>
      <w:r w:rsidRPr="002A7843">
        <w:rPr>
          <w:rFonts w:ascii="Times New Roman" w:hAnsi="Times New Roman" w:cs="Times New Roman"/>
          <w:i/>
          <w:sz w:val="24"/>
          <w:szCs w:val="24"/>
        </w:rPr>
        <w:t>Media 24 Ltd &amp;</w:t>
      </w:r>
      <w:r>
        <w:rPr>
          <w:rFonts w:ascii="Times New Roman" w:hAnsi="Times New Roman" w:cs="Times New Roman"/>
          <w:i/>
          <w:sz w:val="24"/>
          <w:szCs w:val="24"/>
        </w:rPr>
        <w:t xml:space="preserve"> </w:t>
      </w:r>
      <w:r w:rsidRPr="002A7843">
        <w:rPr>
          <w:rFonts w:ascii="Times New Roman" w:hAnsi="Times New Roman" w:cs="Times New Roman"/>
          <w:i/>
          <w:sz w:val="24"/>
          <w:szCs w:val="24"/>
        </w:rPr>
        <w:t>Anor v Grobler</w:t>
      </w:r>
      <w:r>
        <w:rPr>
          <w:rFonts w:ascii="Times New Roman" w:hAnsi="Times New Roman" w:cs="Times New Roman"/>
          <w:i/>
          <w:sz w:val="24"/>
          <w:szCs w:val="24"/>
        </w:rPr>
        <w:t xml:space="preserve"> </w:t>
      </w:r>
      <w:r w:rsidRPr="002A7843">
        <w:rPr>
          <w:rFonts w:ascii="Times New Roman" w:hAnsi="Times New Roman" w:cs="Times New Roman"/>
          <w:sz w:val="24"/>
          <w:szCs w:val="24"/>
        </w:rPr>
        <w:t>Supreme Court of Appeal (SA) 301/04 does not support the plaintiff’s claim in the instant case.  In that case the psychological harm was directly caused by the sexual harassment which was the conduct  complained of by the affected employees.  Accordingly, the plaintiff’s claim for damages in the sum of US$200 000.00 in respect of “mental anguish, anxiety and depression” cannot succeed.</w:t>
      </w:r>
    </w:p>
    <w:p w:rsidR="005E42AD" w:rsidRPr="002A7843" w:rsidRDefault="00A220C1" w:rsidP="005E42AD">
      <w:pPr>
        <w:jc w:val="both"/>
        <w:rPr>
          <w:rFonts w:ascii="Times New Roman" w:hAnsi="Times New Roman" w:cs="Times New Roman"/>
          <w:sz w:val="24"/>
          <w:szCs w:val="24"/>
        </w:rPr>
      </w:pPr>
      <w:r>
        <w:rPr>
          <w:rFonts w:ascii="Times New Roman" w:hAnsi="Times New Roman" w:cs="Times New Roman"/>
          <w:sz w:val="24"/>
          <w:szCs w:val="24"/>
        </w:rPr>
        <w:t xml:space="preserve">In the result, </w:t>
      </w:r>
      <w:r w:rsidR="005E42AD" w:rsidRPr="002A7843">
        <w:rPr>
          <w:rFonts w:ascii="Times New Roman" w:hAnsi="Times New Roman" w:cs="Times New Roman"/>
          <w:sz w:val="24"/>
          <w:szCs w:val="24"/>
        </w:rPr>
        <w:t>judgment is hereby given in favour of the plaintiff against the defendant for:</w:t>
      </w:r>
    </w:p>
    <w:p w:rsidR="005E42AD" w:rsidRPr="002A7843" w:rsidRDefault="005E42AD" w:rsidP="005E42AD">
      <w:pPr>
        <w:pStyle w:val="ListParagraph"/>
        <w:numPr>
          <w:ilvl w:val="0"/>
          <w:numId w:val="1"/>
        </w:numPr>
        <w:jc w:val="both"/>
        <w:rPr>
          <w:rFonts w:ascii="Times New Roman" w:hAnsi="Times New Roman" w:cs="Times New Roman"/>
          <w:sz w:val="24"/>
          <w:szCs w:val="24"/>
        </w:rPr>
      </w:pPr>
      <w:r w:rsidRPr="002A7843">
        <w:rPr>
          <w:rFonts w:ascii="Times New Roman" w:hAnsi="Times New Roman" w:cs="Times New Roman"/>
          <w:sz w:val="24"/>
          <w:szCs w:val="24"/>
        </w:rPr>
        <w:t>Payment of the sum of US$218 649, together with interest thereon at the prescribed rate from the date of service of the summons to the date of payment.</w:t>
      </w:r>
    </w:p>
    <w:p w:rsidR="005E42AD" w:rsidRPr="002A7843" w:rsidRDefault="005E42AD" w:rsidP="005E42AD">
      <w:pPr>
        <w:pStyle w:val="ListParagraph"/>
        <w:jc w:val="both"/>
        <w:rPr>
          <w:rFonts w:ascii="Times New Roman" w:hAnsi="Times New Roman" w:cs="Times New Roman"/>
          <w:sz w:val="24"/>
          <w:szCs w:val="24"/>
        </w:rPr>
      </w:pPr>
    </w:p>
    <w:p w:rsidR="005E42AD" w:rsidRPr="002A7843" w:rsidRDefault="005E42AD" w:rsidP="005E42AD">
      <w:pPr>
        <w:pStyle w:val="ListParagraph"/>
        <w:numPr>
          <w:ilvl w:val="0"/>
          <w:numId w:val="1"/>
        </w:numPr>
        <w:jc w:val="both"/>
        <w:rPr>
          <w:rFonts w:ascii="Times New Roman" w:hAnsi="Times New Roman" w:cs="Times New Roman"/>
          <w:sz w:val="24"/>
          <w:szCs w:val="24"/>
        </w:rPr>
      </w:pPr>
      <w:r w:rsidRPr="002A7843">
        <w:rPr>
          <w:rFonts w:ascii="Times New Roman" w:hAnsi="Times New Roman" w:cs="Times New Roman"/>
          <w:sz w:val="24"/>
          <w:szCs w:val="24"/>
        </w:rPr>
        <w:t>Costs of suit.</w:t>
      </w:r>
    </w:p>
    <w:p w:rsidR="00212480" w:rsidRDefault="00212480"/>
    <w:sectPr w:rsidR="00212480" w:rsidSect="00831DF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D2E" w:rsidRDefault="00526D2E" w:rsidP="00942942">
      <w:pPr>
        <w:spacing w:after="0" w:line="240" w:lineRule="auto"/>
      </w:pPr>
      <w:r>
        <w:separator/>
      </w:r>
    </w:p>
  </w:endnote>
  <w:endnote w:type="continuationSeparator" w:id="0">
    <w:p w:rsidR="00526D2E" w:rsidRDefault="00526D2E" w:rsidP="00942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FB9" w:rsidRDefault="007A0F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FB9" w:rsidRDefault="007A0F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FB9" w:rsidRDefault="007A0F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D2E" w:rsidRDefault="00526D2E" w:rsidP="00942942">
      <w:pPr>
        <w:spacing w:after="0" w:line="240" w:lineRule="auto"/>
      </w:pPr>
      <w:r>
        <w:separator/>
      </w:r>
    </w:p>
  </w:footnote>
  <w:footnote w:type="continuationSeparator" w:id="0">
    <w:p w:rsidR="00526D2E" w:rsidRDefault="00526D2E" w:rsidP="009429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FB9" w:rsidRDefault="007A0F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43876"/>
      <w:docPartObj>
        <w:docPartGallery w:val="Page Numbers (Top of Page)"/>
        <w:docPartUnique/>
      </w:docPartObj>
    </w:sdtPr>
    <w:sdtEndPr/>
    <w:sdtContent>
      <w:p w:rsidR="00A86A8E" w:rsidRDefault="006A6BC4" w:rsidP="00A86A8E">
        <w:pPr>
          <w:pStyle w:val="Header"/>
          <w:ind w:left="2520" w:firstLine="4680"/>
        </w:pPr>
        <w:r>
          <w:fldChar w:fldCharType="begin"/>
        </w:r>
        <w:r w:rsidR="005E42AD">
          <w:instrText xml:space="preserve"> PAGE   \* MERGEFORMAT </w:instrText>
        </w:r>
        <w:r>
          <w:fldChar w:fldCharType="separate"/>
        </w:r>
        <w:r w:rsidR="00445F24">
          <w:rPr>
            <w:noProof/>
          </w:rPr>
          <w:t>2</w:t>
        </w:r>
        <w:r>
          <w:fldChar w:fldCharType="end"/>
        </w:r>
      </w:p>
      <w:p w:rsidR="00A86A8E" w:rsidRDefault="005E42AD" w:rsidP="00A86A8E">
        <w:pPr>
          <w:pStyle w:val="Header"/>
        </w:pPr>
        <w:r>
          <w:tab/>
          <w:t xml:space="preserve">                                                                                                         HH</w:t>
        </w:r>
        <w:r w:rsidR="007A0FB9">
          <w:t xml:space="preserve"> 389-2012</w:t>
        </w:r>
      </w:p>
      <w:p w:rsidR="00A86A8E" w:rsidRDefault="005E42AD" w:rsidP="00A86A8E">
        <w:pPr>
          <w:pStyle w:val="Header"/>
          <w:ind w:left="3240"/>
        </w:pPr>
        <w:r>
          <w:tab/>
          <w:t xml:space="preserve">                                              </w:t>
        </w:r>
        <w:r w:rsidR="007A0FB9">
          <w:t xml:space="preserve">                       </w:t>
        </w:r>
        <w:r>
          <w:t xml:space="preserve"> HC 3376-2010</w:t>
        </w:r>
      </w:p>
    </w:sdtContent>
  </w:sdt>
  <w:p w:rsidR="00A86A8E" w:rsidRDefault="00526D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FB9" w:rsidRDefault="007A0F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D471C"/>
    <w:multiLevelType w:val="hybridMultilevel"/>
    <w:tmpl w:val="131A0C4C"/>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E42AD"/>
    <w:rsid w:val="00212480"/>
    <w:rsid w:val="00445F24"/>
    <w:rsid w:val="00526D2E"/>
    <w:rsid w:val="005E42AD"/>
    <w:rsid w:val="006A6BC4"/>
    <w:rsid w:val="007A0FB9"/>
    <w:rsid w:val="00942942"/>
    <w:rsid w:val="00A220C1"/>
    <w:rsid w:val="00AC3D8F"/>
    <w:rsid w:val="00CA3FC1"/>
    <w:rsid w:val="00CB39CB"/>
    <w:rsid w:val="00E36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2AD"/>
    <w:rPr>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2AD"/>
    <w:pPr>
      <w:ind w:left="720"/>
      <w:contextualSpacing/>
    </w:pPr>
  </w:style>
  <w:style w:type="paragraph" w:styleId="NoSpacing">
    <w:name w:val="No Spacing"/>
    <w:uiPriority w:val="1"/>
    <w:qFormat/>
    <w:rsid w:val="005E42AD"/>
    <w:pPr>
      <w:spacing w:after="0" w:line="240" w:lineRule="auto"/>
    </w:pPr>
    <w:rPr>
      <w:lang w:val="en-ZW"/>
    </w:rPr>
  </w:style>
  <w:style w:type="paragraph" w:styleId="Header">
    <w:name w:val="header"/>
    <w:basedOn w:val="Normal"/>
    <w:link w:val="HeaderChar"/>
    <w:uiPriority w:val="99"/>
    <w:unhideWhenUsed/>
    <w:rsid w:val="005E4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2AD"/>
    <w:rPr>
      <w:lang w:val="en-ZW"/>
    </w:rPr>
  </w:style>
  <w:style w:type="paragraph" w:styleId="Footer">
    <w:name w:val="footer"/>
    <w:basedOn w:val="Normal"/>
    <w:link w:val="FooterChar"/>
    <w:uiPriority w:val="99"/>
    <w:semiHidden/>
    <w:unhideWhenUsed/>
    <w:rsid w:val="007A0F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A0FB9"/>
    <w:rPr>
      <w:lang w:val="en-Z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jibson</dc:creator>
  <cp:lastModifiedBy>user</cp:lastModifiedBy>
  <cp:revision>2</cp:revision>
  <cp:lastPrinted>2012-10-09T13:59:00Z</cp:lastPrinted>
  <dcterms:created xsi:type="dcterms:W3CDTF">2012-11-13T09:38:00Z</dcterms:created>
  <dcterms:modified xsi:type="dcterms:W3CDTF">2012-11-13T09:38:00Z</dcterms:modified>
</cp:coreProperties>
</file>